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18" w:type="dxa"/>
        <w:tblInd w:w="52" w:type="dxa"/>
        <w:tblLayout w:type="fixed"/>
        <w:tblCellMar>
          <w:left w:w="27" w:type="dxa"/>
          <w:right w:w="27" w:type="dxa"/>
        </w:tblCellMar>
        <w:tblLook w:val="0000" w:firstRow="0" w:lastRow="0" w:firstColumn="0" w:lastColumn="0" w:noHBand="0" w:noVBand="0"/>
      </w:tblPr>
      <w:tblGrid>
        <w:gridCol w:w="9473"/>
        <w:gridCol w:w="567"/>
        <w:gridCol w:w="678"/>
      </w:tblGrid>
      <w:tr w:rsidR="001D104C" w:rsidRPr="00ED446A" w14:paraId="07D8D3FB" w14:textId="77777777" w:rsidTr="00E1160A">
        <w:trPr>
          <w:trHeight w:val="281"/>
        </w:trPr>
        <w:tc>
          <w:tcPr>
            <w:tcW w:w="107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1A88A96F" w14:textId="77777777" w:rsidR="001D104C" w:rsidRPr="00ED446A" w:rsidRDefault="001D104C" w:rsidP="00E1160A">
            <w:pPr>
              <w:jc w:val="center"/>
              <w:rPr>
                <w:rFonts w:cstheme="minorHAnsi"/>
                <w:b/>
                <w:sz w:val="28"/>
              </w:rPr>
            </w:pPr>
            <w:r w:rsidRPr="00ED446A">
              <w:rPr>
                <w:rFonts w:cstheme="minorHAnsi"/>
                <w:b/>
                <w:sz w:val="28"/>
              </w:rPr>
              <w:t>Objectifs d'apprentissage</w:t>
            </w:r>
          </w:p>
        </w:tc>
      </w:tr>
      <w:tr w:rsidR="001D104C" w:rsidRPr="00ED446A" w14:paraId="66A7F70B" w14:textId="77777777" w:rsidTr="00E1160A">
        <w:trPr>
          <w:trHeight w:val="16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2448F0B1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1D468C19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sz w:val="20"/>
                <w:szCs w:val="21"/>
              </w:rPr>
              <w:t>Oui</w:t>
            </w:r>
          </w:p>
        </w:tc>
        <w:tc>
          <w:tcPr>
            <w:tcW w:w="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36794DBC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sz w:val="20"/>
                <w:szCs w:val="21"/>
              </w:rPr>
              <w:t>Non</w:t>
            </w:r>
          </w:p>
        </w:tc>
      </w:tr>
      <w:tr w:rsidR="001D104C" w:rsidRPr="00ED446A" w14:paraId="07E6A284" w14:textId="77777777" w:rsidTr="00E1160A">
        <w:trPr>
          <w:trHeight w:val="78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54BD415A" w14:textId="77777777" w:rsidR="001D104C" w:rsidRDefault="001D104C" w:rsidP="00E1160A">
            <w:pPr>
              <w:rPr>
                <w:rFonts w:cstheme="minorHAnsi"/>
                <w:b/>
                <w:sz w:val="20"/>
                <w:szCs w:val="20"/>
              </w:rPr>
            </w:pPr>
            <w:r w:rsidRPr="00ED446A">
              <w:rPr>
                <w:rFonts w:cstheme="minorHAnsi"/>
                <w:b/>
                <w:bCs/>
                <w:sz w:val="24"/>
                <w:szCs w:val="21"/>
              </w:rPr>
              <w:t>Je sais définir</w:t>
            </w:r>
            <w:r w:rsidRPr="00ED446A">
              <w:rPr>
                <w:rFonts w:cstheme="minorHAnsi"/>
                <w:sz w:val="24"/>
                <w:szCs w:val="21"/>
              </w:rPr>
              <w:t> </w:t>
            </w:r>
            <w:r w:rsidRPr="00222E3E">
              <w:rPr>
                <w:rFonts w:cstheme="minorHAnsi"/>
                <w:sz w:val="20"/>
                <w:szCs w:val="20"/>
              </w:rPr>
              <w:t>:</w:t>
            </w:r>
            <w:r w:rsidRPr="00222E3E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B810A29" w14:textId="77777777" w:rsidR="001D104C" w:rsidRPr="0098066A" w:rsidRDefault="001D104C" w:rsidP="00E1160A">
            <w:pPr>
              <w:rPr>
                <w:rFonts w:cstheme="minorHAnsi"/>
                <w:sz w:val="20"/>
                <w:szCs w:val="20"/>
              </w:rPr>
            </w:pPr>
            <w:r w:rsidRPr="0098066A">
              <w:rPr>
                <w:rFonts w:cstheme="minorHAnsi"/>
                <w:szCs w:val="21"/>
              </w:rPr>
              <w:t>Coopération ; lien social ; PCS ; risques sociaux ; solidarité mécanique ; solidarité organique ; conditions de travail ; division horizontale du travail ; division verticale du travail ; emploi ; flexibilité ; intégration sociale ; management participatif ; organisation post-taylorienne du travail ; organisation taylorienne du travail ; polarisation des emplois ; précarité ; qualité des emplois ; recomposition des tâches ; statut d’emploi ; télétravail ; travail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206FB963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7927D36B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  <w:tr w:rsidR="001D104C" w:rsidRPr="00ED446A" w14:paraId="6AA40768" w14:textId="77777777" w:rsidTr="00E1160A">
        <w:trPr>
          <w:trHeight w:val="1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35F551FC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b/>
                <w:bCs/>
                <w:sz w:val="24"/>
                <w:szCs w:val="21"/>
              </w:rPr>
              <w:t>Je sais distinguer</w:t>
            </w:r>
            <w:r w:rsidRPr="00ED446A">
              <w:rPr>
                <w:rFonts w:cstheme="minorHAnsi"/>
                <w:sz w:val="24"/>
                <w:szCs w:val="21"/>
              </w:rPr>
              <w:t> </w:t>
            </w:r>
            <w:r w:rsidRPr="00ED446A">
              <w:rPr>
                <w:rFonts w:cstheme="minorHAnsi"/>
                <w:sz w:val="20"/>
                <w:szCs w:val="21"/>
              </w:rPr>
              <w:t xml:space="preserve">: </w:t>
            </w:r>
          </w:p>
          <w:p w14:paraId="1F56F496" w14:textId="77777777" w:rsidR="001D104C" w:rsidRPr="0098066A" w:rsidRDefault="001D104C" w:rsidP="001D104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Travail et emploi.</w:t>
            </w:r>
          </w:p>
          <w:p w14:paraId="65F1CF45" w14:textId="77777777" w:rsidR="001D104C" w:rsidRPr="0098066A" w:rsidRDefault="001D104C" w:rsidP="001D104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Les différents statuts d’emploi (salarié/non salarié, stable/précaire).</w:t>
            </w:r>
          </w:p>
          <w:p w14:paraId="08A96D6D" w14:textId="77777777" w:rsidR="001D104C" w:rsidRPr="0098066A" w:rsidRDefault="001D104C" w:rsidP="001D104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La définition du chômage au sens du BIT (reprise par l’Insee) et la définition du chômage au sens de pôle emploi (demandeurs d’emploi).</w:t>
            </w:r>
          </w:p>
          <w:p w14:paraId="66D79C87" w14:textId="77777777" w:rsidR="001D104C" w:rsidRPr="0098066A" w:rsidRDefault="001D104C" w:rsidP="001D104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Chômeur et inactif.</w:t>
            </w:r>
          </w:p>
          <w:p w14:paraId="789CCE24" w14:textId="77777777" w:rsidR="001D104C" w:rsidRPr="003D45B8" w:rsidRDefault="001D104C" w:rsidP="001D104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 w:val="20"/>
                <w:szCs w:val="20"/>
              </w:rPr>
            </w:pPr>
            <w:r w:rsidRPr="0098066A">
              <w:rPr>
                <w:rFonts w:cstheme="minorHAnsi"/>
                <w:szCs w:val="21"/>
              </w:rPr>
              <w:t>Organisation taylorienne et post-taylorienne.</w:t>
            </w:r>
          </w:p>
          <w:p w14:paraId="329D38E2" w14:textId="77777777" w:rsidR="001D104C" w:rsidRPr="00ED446A" w:rsidRDefault="001D104C" w:rsidP="001D104C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Cs w:val="21"/>
              </w:rPr>
              <w:t>Division horizontale et verticale du travail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549C0F0A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01F9E3C7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  <w:tr w:rsidR="001D104C" w:rsidRPr="00ED446A" w14:paraId="716DB8E8" w14:textId="77777777" w:rsidTr="00E1160A">
        <w:trPr>
          <w:trHeight w:val="3692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31BD10E1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  <w:r w:rsidRPr="00ED446A">
              <w:rPr>
                <w:rFonts w:cstheme="minorHAnsi"/>
                <w:b/>
                <w:bCs/>
                <w:sz w:val="24"/>
                <w:szCs w:val="21"/>
              </w:rPr>
              <w:t>Je sais expliquer</w:t>
            </w:r>
            <w:r w:rsidRPr="00ED446A">
              <w:rPr>
                <w:rFonts w:cstheme="minorHAnsi"/>
                <w:sz w:val="24"/>
                <w:szCs w:val="21"/>
              </w:rPr>
              <w:t> </w:t>
            </w:r>
            <w:r w:rsidRPr="00ED446A">
              <w:rPr>
                <w:rFonts w:cstheme="minorHAnsi"/>
                <w:sz w:val="20"/>
                <w:szCs w:val="21"/>
              </w:rPr>
              <w:t xml:space="preserve">: </w:t>
            </w:r>
          </w:p>
          <w:p w14:paraId="3D3D4807" w14:textId="77777777" w:rsidR="001D104C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>
              <w:rPr>
                <w:rFonts w:cstheme="minorHAnsi"/>
                <w:sz w:val="20"/>
                <w:szCs w:val="20"/>
              </w:rPr>
              <w:t xml:space="preserve">Que les évolutions des formes d’emploi rendent plus incertaines les frontières entre emploi, </w:t>
            </w:r>
            <w:r w:rsidRPr="0098066A">
              <w:rPr>
                <w:rFonts w:cstheme="minorHAnsi"/>
                <w:szCs w:val="21"/>
              </w:rPr>
              <w:t>chômage et inactivité.</w:t>
            </w:r>
          </w:p>
          <w:p w14:paraId="73010889" w14:textId="77777777" w:rsidR="001D104C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 xml:space="preserve">Ce qu’est l’activité ainsi que ce que représente le chômage. </w:t>
            </w:r>
          </w:p>
          <w:p w14:paraId="09B1615D" w14:textId="77777777" w:rsidR="001D104C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 xml:space="preserve">Ce que signifie le statut d’emploi. </w:t>
            </w:r>
          </w:p>
          <w:p w14:paraId="74F0EE58" w14:textId="77777777" w:rsidR="001D104C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Que l’emploi stable est fragilisé.</w:t>
            </w:r>
          </w:p>
          <w:p w14:paraId="59F4A3B2" w14:textId="77777777" w:rsidR="001D104C" w:rsidRPr="00B30DB2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 xml:space="preserve">Qu’on assiste à une montée de l’emploi atypique. </w:t>
            </w:r>
          </w:p>
          <w:p w14:paraId="1938DBED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Comment le travail contribue à l’intégration sociale et les conditions pour qu’il joue son rôle efficacement.</w:t>
            </w:r>
          </w:p>
          <w:p w14:paraId="3559DB08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Comment la montée du chômage fragilise l’intégration sociale.</w:t>
            </w:r>
          </w:p>
          <w:p w14:paraId="533483C4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Pourquoi la précarisation de l’emploi fragilise la capacité du travail à intégrer.</w:t>
            </w:r>
          </w:p>
          <w:p w14:paraId="20AFE972" w14:textId="77777777" w:rsidR="001D104C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Pourquoi la montée du temps partiel (notamment lorsqu’il est subi : sous-emploi) fragilise la capacité du travail à intégrer.</w:t>
            </w:r>
          </w:p>
          <w:p w14:paraId="179B7BD4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>
              <w:rPr>
                <w:rFonts w:cstheme="minorHAnsi"/>
                <w:szCs w:val="21"/>
              </w:rPr>
              <w:t>Ce qu’est le halo du chômage.</w:t>
            </w:r>
          </w:p>
          <w:p w14:paraId="42EA3D72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La thèse de Castel sur le processus de désaffiliation.</w:t>
            </w:r>
          </w:p>
          <w:p w14:paraId="2F44188E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Les principaux descripteurs de la qualité des emplois.</w:t>
            </w:r>
          </w:p>
          <w:p w14:paraId="626EC6C4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Comment la polarisation de la qualité des emplois peut fragiliser la capacité du travail à intégrer.</w:t>
            </w:r>
          </w:p>
          <w:p w14:paraId="4ECC3C79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Les trois principales conséquences de l’essor du numérique.</w:t>
            </w:r>
          </w:p>
          <w:p w14:paraId="0C38BDAF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Les principes fondamentaux des modèles d’organisation taylorienne du travail.</w:t>
            </w:r>
          </w:p>
          <w:p w14:paraId="77D1A03D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Les raisons de la remise en cause des modèles d’organisation taylorienne du travail.</w:t>
            </w:r>
          </w:p>
          <w:p w14:paraId="3FFD30CE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Les principes fondamentaux des modèles d’organisation post-taylorienne du travail.</w:t>
            </w:r>
          </w:p>
          <w:p w14:paraId="6F463735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Les conséquences positives de l’évolution des modèles d’organisation post-taylorienne du travail.</w:t>
            </w:r>
          </w:p>
          <w:p w14:paraId="73C0ED6D" w14:textId="77777777" w:rsidR="001D104C" w:rsidRPr="0098066A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Cs w:val="21"/>
              </w:rPr>
            </w:pPr>
            <w:r w:rsidRPr="0098066A">
              <w:rPr>
                <w:rFonts w:cstheme="minorHAnsi"/>
                <w:szCs w:val="21"/>
              </w:rPr>
              <w:t>Pourquoi l’émergence de ces nouveaux modèles ont pu dans certains cas durcir encore les conditions de travail.</w:t>
            </w:r>
          </w:p>
          <w:p w14:paraId="4B61747F" w14:textId="77777777" w:rsidR="001D104C" w:rsidRPr="003D45B8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98066A">
              <w:rPr>
                <w:rFonts w:cstheme="minorHAnsi"/>
                <w:szCs w:val="21"/>
              </w:rPr>
              <w:t>La persistance des principes tayloriens (division horizontale et division verticale) dans les organisations actuelles.</w:t>
            </w:r>
          </w:p>
          <w:p w14:paraId="74BEF663" w14:textId="77777777" w:rsidR="001D104C" w:rsidRPr="003D45B8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Cs w:val="21"/>
              </w:rPr>
              <w:t>Comment le numérique brouille les frontières du travail.</w:t>
            </w:r>
          </w:p>
          <w:p w14:paraId="5CFF3464" w14:textId="77777777" w:rsidR="001D104C" w:rsidRPr="003D45B8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Cs w:val="21"/>
              </w:rPr>
              <w:t>Les effets ambigus du numérique sur la qualité de l’emploi et l’évolution des statuts d’emplois.</w:t>
            </w:r>
          </w:p>
          <w:p w14:paraId="4589C6E8" w14:textId="77777777" w:rsidR="001D104C" w:rsidRPr="001509CE" w:rsidRDefault="001D104C" w:rsidP="001D104C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Que le numérique transforme les relations d’emploi et augmente le risque de polarisation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51A07F4F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1540C90D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  <w:tr w:rsidR="001D104C" w:rsidRPr="00ED446A" w14:paraId="18F7FFD5" w14:textId="77777777" w:rsidTr="00E1160A">
        <w:trPr>
          <w:trHeight w:val="728"/>
        </w:trPr>
        <w:tc>
          <w:tcPr>
            <w:tcW w:w="9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4DDEF6C0" w14:textId="2CABD1D3" w:rsidR="001D104C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  <w:r>
              <w:rPr>
                <w:rFonts w:cstheme="minorHAnsi"/>
                <w:b/>
                <w:bCs/>
                <w:sz w:val="24"/>
                <w:szCs w:val="21"/>
              </w:rPr>
              <w:t xml:space="preserve">Les parties que je souhaite revoir : </w:t>
            </w:r>
          </w:p>
          <w:p w14:paraId="7DAD0B4C" w14:textId="77777777" w:rsidR="001D104C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729763DC" w14:textId="77777777" w:rsidR="001D104C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34DED580" w14:textId="77777777" w:rsidR="001D104C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  <w:p w14:paraId="63B15C99" w14:textId="77777777" w:rsidR="001D104C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1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263A5644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  <w:tc>
          <w:tcPr>
            <w:tcW w:w="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14:paraId="270C2BC6" w14:textId="77777777" w:rsidR="001D104C" w:rsidRPr="00ED446A" w:rsidRDefault="001D104C" w:rsidP="00E1160A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sz w:val="20"/>
                <w:szCs w:val="21"/>
              </w:rPr>
            </w:pPr>
          </w:p>
        </w:tc>
      </w:tr>
    </w:tbl>
    <w:p w14:paraId="268B05E4" w14:textId="6A1801E7" w:rsidR="00770FB7" w:rsidRPr="00770FB7" w:rsidRDefault="00770FB7" w:rsidP="00770FB7"/>
    <w:sectPr w:rsidR="00770FB7" w:rsidRPr="00770FB7" w:rsidSect="000B2FA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DDAAE" w14:textId="77777777" w:rsidR="00111EE0" w:rsidRDefault="00111EE0" w:rsidP="00C00AB3">
      <w:r>
        <w:separator/>
      </w:r>
    </w:p>
  </w:endnote>
  <w:endnote w:type="continuationSeparator" w:id="0">
    <w:p w14:paraId="2234637A" w14:textId="77777777" w:rsidR="00111EE0" w:rsidRDefault="00111EE0" w:rsidP="00C0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989A1" w14:textId="62EF318A" w:rsidR="00DA64C2" w:rsidRDefault="00DA64C2">
    <w:pPr>
      <w:pStyle w:val="Pieddepage"/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60288" behindDoc="0" locked="0" layoutInCell="1" allowOverlap="1" wp14:anchorId="0D4C5C9E" wp14:editId="3783B898">
          <wp:simplePos x="0" y="0"/>
          <wp:positionH relativeFrom="column">
            <wp:posOffset>6092190</wp:posOffset>
          </wp:positionH>
          <wp:positionV relativeFrom="paragraph">
            <wp:posOffset>-114935</wp:posOffset>
          </wp:positionV>
          <wp:extent cx="858520" cy="858520"/>
          <wp:effectExtent l="0" t="0" r="0" b="0"/>
          <wp:wrapNone/>
          <wp:docPr id="816778163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8CECA" w14:textId="77777777" w:rsidR="00111EE0" w:rsidRDefault="00111EE0" w:rsidP="00C00AB3">
      <w:r>
        <w:separator/>
      </w:r>
    </w:p>
  </w:footnote>
  <w:footnote w:type="continuationSeparator" w:id="0">
    <w:p w14:paraId="01BE3F53" w14:textId="77777777" w:rsidR="00111EE0" w:rsidRDefault="00111EE0" w:rsidP="00C00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D19E2" w14:textId="53422B51" w:rsidR="00DA7321" w:rsidRDefault="00DA7321" w:rsidP="00C00AB3">
    <w:pPr>
      <w:pStyle w:val="En-tte"/>
      <w:jc w:val="center"/>
      <w:rPr>
        <w:b/>
        <w:bCs/>
        <w:color w:val="C00000"/>
        <w:sz w:val="28"/>
        <w:szCs w:val="36"/>
      </w:rPr>
    </w:pPr>
    <w:r>
      <w:rPr>
        <w:b/>
        <w:bCs/>
        <w:noProof/>
        <w:color w:val="C00000"/>
        <w:sz w:val="28"/>
        <w:szCs w:val="36"/>
        <w14:ligatures w14:val="standardContextual"/>
      </w:rPr>
      <w:drawing>
        <wp:anchor distT="0" distB="0" distL="114300" distR="114300" simplePos="0" relativeHeight="251658240" behindDoc="0" locked="0" layoutInCell="1" allowOverlap="1" wp14:anchorId="2F43BA0C" wp14:editId="0603DDF0">
          <wp:simplePos x="0" y="0"/>
          <wp:positionH relativeFrom="column">
            <wp:posOffset>-299085</wp:posOffset>
          </wp:positionH>
          <wp:positionV relativeFrom="paragraph">
            <wp:posOffset>-554476</wp:posOffset>
          </wp:positionV>
          <wp:extent cx="858520" cy="858520"/>
          <wp:effectExtent l="0" t="0" r="0" b="0"/>
          <wp:wrapNone/>
          <wp:docPr id="592379525" name="Image 2" descr="Une image contenant Graphique, Police, capture d’écran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79525" name="Image 2" descr="Une image contenant Graphique, Police, capture d’écran, conception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2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700167" w14:textId="18723E75" w:rsidR="00C00AB3" w:rsidRDefault="00C00AB3" w:rsidP="00C00AB3">
    <w:pPr>
      <w:pStyle w:val="En-tte"/>
      <w:jc w:val="center"/>
      <w:rPr>
        <w:b/>
        <w:bCs/>
        <w:color w:val="C00000"/>
        <w:sz w:val="28"/>
        <w:szCs w:val="36"/>
      </w:rPr>
    </w:pPr>
    <w:r w:rsidRPr="00C00AB3">
      <w:rPr>
        <w:b/>
        <w:bCs/>
        <w:color w:val="C00000"/>
        <w:sz w:val="28"/>
        <w:szCs w:val="36"/>
      </w:rPr>
      <w:t xml:space="preserve">Chapitre </w:t>
    </w:r>
    <w:r w:rsidR="00770FB7">
      <w:rPr>
        <w:b/>
        <w:bCs/>
        <w:color w:val="C00000"/>
        <w:sz w:val="28"/>
        <w:szCs w:val="36"/>
      </w:rPr>
      <w:t>S4</w:t>
    </w:r>
    <w:r w:rsidR="00DA7321">
      <w:rPr>
        <w:b/>
        <w:bCs/>
        <w:color w:val="C00000"/>
        <w:sz w:val="28"/>
        <w:szCs w:val="36"/>
      </w:rPr>
      <w:t> : Quelles</w:t>
    </w:r>
    <w:r w:rsidR="00770FB7">
      <w:rPr>
        <w:b/>
        <w:bCs/>
        <w:color w:val="C00000"/>
        <w:sz w:val="28"/>
        <w:szCs w:val="36"/>
      </w:rPr>
      <w:t xml:space="preserve"> mutations du travail et de l’emploi </w:t>
    </w:r>
    <w:r w:rsidR="00DA7321">
      <w:rPr>
        <w:b/>
        <w:bCs/>
        <w:color w:val="C00000"/>
        <w:sz w:val="28"/>
        <w:szCs w:val="36"/>
      </w:rPr>
      <w:t>?</w:t>
    </w:r>
  </w:p>
  <w:p w14:paraId="1626902F" w14:textId="77777777" w:rsidR="00C00AB3" w:rsidRDefault="00C00AB3" w:rsidP="00DA64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A018DC"/>
    <w:multiLevelType w:val="hybridMultilevel"/>
    <w:tmpl w:val="B32A0168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8705C"/>
    <w:multiLevelType w:val="hybridMultilevel"/>
    <w:tmpl w:val="A6E8C65C"/>
    <w:lvl w:ilvl="0" w:tplc="6840D0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775374">
    <w:abstractNumId w:val="0"/>
  </w:num>
  <w:num w:numId="2" w16cid:durableId="142743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AD"/>
    <w:rsid w:val="00023595"/>
    <w:rsid w:val="000B2FAD"/>
    <w:rsid w:val="000C6E2E"/>
    <w:rsid w:val="00111EE0"/>
    <w:rsid w:val="001C4860"/>
    <w:rsid w:val="001D104C"/>
    <w:rsid w:val="00231659"/>
    <w:rsid w:val="003F6471"/>
    <w:rsid w:val="004168A4"/>
    <w:rsid w:val="005040E0"/>
    <w:rsid w:val="005D100D"/>
    <w:rsid w:val="005E65DD"/>
    <w:rsid w:val="007370F8"/>
    <w:rsid w:val="00770FB7"/>
    <w:rsid w:val="007A6F7E"/>
    <w:rsid w:val="008D22C3"/>
    <w:rsid w:val="00A60181"/>
    <w:rsid w:val="00A94257"/>
    <w:rsid w:val="00C00AB3"/>
    <w:rsid w:val="00CE3F1A"/>
    <w:rsid w:val="00D46CCD"/>
    <w:rsid w:val="00DA64C2"/>
    <w:rsid w:val="00DA7321"/>
    <w:rsid w:val="00DC26C1"/>
    <w:rsid w:val="00E65873"/>
    <w:rsid w:val="00F4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E5BE5"/>
  <w15:chartTrackingRefBased/>
  <w15:docId w15:val="{FF816322-FF11-9442-9B51-70A7E23C7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FAD"/>
    <w:pPr>
      <w:jc w:val="both"/>
    </w:pPr>
    <w:rPr>
      <w:kern w:val="0"/>
      <w:sz w:val="21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C48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030A0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48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8AD8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B2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B2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B2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B2F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B2F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B2F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B2F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860"/>
    <w:rPr>
      <w:rFonts w:asciiTheme="majorHAnsi" w:eastAsiaTheme="majorEastAsia" w:hAnsiTheme="majorHAnsi" w:cstheme="majorBidi"/>
      <w:color w:val="7030A0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C4860"/>
    <w:rPr>
      <w:rFonts w:asciiTheme="majorHAnsi" w:eastAsiaTheme="majorEastAsia" w:hAnsiTheme="majorHAnsi" w:cstheme="majorBidi"/>
      <w:color w:val="FF8AD8"/>
      <w:sz w:val="2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B2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B2FAD"/>
    <w:rPr>
      <w:rFonts w:eastAsiaTheme="majorEastAsia" w:cstheme="majorBidi"/>
      <w:i/>
      <w:iCs/>
      <w:color w:val="0F4761" w:themeColor="accent1" w:themeShade="BF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sid w:val="000B2FAD"/>
    <w:rPr>
      <w:rFonts w:eastAsiaTheme="majorEastAsia" w:cstheme="majorBidi"/>
      <w:color w:val="0F4761" w:themeColor="accent1" w:themeShade="BF"/>
      <w:sz w:val="21"/>
    </w:rPr>
  </w:style>
  <w:style w:type="character" w:customStyle="1" w:styleId="Titre6Car">
    <w:name w:val="Titre 6 Car"/>
    <w:basedOn w:val="Policepardfaut"/>
    <w:link w:val="Titre6"/>
    <w:uiPriority w:val="9"/>
    <w:semiHidden/>
    <w:rsid w:val="000B2FAD"/>
    <w:rPr>
      <w:rFonts w:eastAsiaTheme="majorEastAsia" w:cstheme="majorBidi"/>
      <w:i/>
      <w:iCs/>
      <w:color w:val="595959" w:themeColor="text1" w:themeTint="A6"/>
      <w:sz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0B2FAD"/>
    <w:rPr>
      <w:rFonts w:eastAsiaTheme="majorEastAsia" w:cstheme="majorBidi"/>
      <w:color w:val="595959" w:themeColor="text1" w:themeTint="A6"/>
      <w:sz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0B2FAD"/>
    <w:rPr>
      <w:rFonts w:eastAsiaTheme="majorEastAsia" w:cstheme="majorBidi"/>
      <w:i/>
      <w:iCs/>
      <w:color w:val="272727" w:themeColor="text1" w:themeTint="D8"/>
      <w:sz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0B2FAD"/>
    <w:rPr>
      <w:rFonts w:eastAsiaTheme="majorEastAsia" w:cstheme="majorBidi"/>
      <w:color w:val="272727" w:themeColor="text1" w:themeTint="D8"/>
      <w:sz w:val="21"/>
    </w:rPr>
  </w:style>
  <w:style w:type="paragraph" w:styleId="Titre">
    <w:name w:val="Title"/>
    <w:basedOn w:val="Normal"/>
    <w:next w:val="Normal"/>
    <w:link w:val="TitreCar"/>
    <w:uiPriority w:val="10"/>
    <w:qFormat/>
    <w:rsid w:val="000B2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B2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B2F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B2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B2F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B2FAD"/>
    <w:rPr>
      <w:i/>
      <w:iCs/>
      <w:color w:val="404040" w:themeColor="text1" w:themeTint="BF"/>
      <w:sz w:val="21"/>
    </w:rPr>
  </w:style>
  <w:style w:type="paragraph" w:styleId="Paragraphedeliste">
    <w:name w:val="List Paragraph"/>
    <w:basedOn w:val="Normal"/>
    <w:uiPriority w:val="1"/>
    <w:qFormat/>
    <w:rsid w:val="000B2FA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B2FA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B2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B2FAD"/>
    <w:rPr>
      <w:i/>
      <w:iCs/>
      <w:color w:val="0F4761" w:themeColor="accent1" w:themeShade="BF"/>
      <w:sz w:val="21"/>
    </w:rPr>
  </w:style>
  <w:style w:type="character" w:styleId="Rfrenceintense">
    <w:name w:val="Intense Reference"/>
    <w:basedOn w:val="Policepardfaut"/>
    <w:uiPriority w:val="32"/>
    <w:qFormat/>
    <w:rsid w:val="000B2FA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0AB3"/>
    <w:rPr>
      <w:kern w:val="0"/>
      <w:sz w:val="21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C00A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0AB3"/>
    <w:rPr>
      <w:kern w:val="0"/>
      <w:sz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424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PIETRINI</dc:creator>
  <cp:keywords/>
  <dc:description/>
  <cp:lastModifiedBy>ALICE PIETRINI</cp:lastModifiedBy>
  <cp:revision>2</cp:revision>
  <dcterms:created xsi:type="dcterms:W3CDTF">2026-06-10T12:35:00Z</dcterms:created>
  <dcterms:modified xsi:type="dcterms:W3CDTF">2026-06-10T12:35:00Z</dcterms:modified>
</cp:coreProperties>
</file>