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07" w:type="dxa"/>
        <w:tblInd w:w="52" w:type="dxa"/>
        <w:tblLayout w:type="fixed"/>
        <w:tblCellMar>
          <w:left w:w="27" w:type="dxa"/>
          <w:right w:w="27" w:type="dxa"/>
        </w:tblCellMar>
        <w:tblLook w:val="0000" w:firstRow="0" w:lastRow="0" w:firstColumn="0" w:lastColumn="0" w:noHBand="0" w:noVBand="0"/>
      </w:tblPr>
      <w:tblGrid>
        <w:gridCol w:w="9473"/>
        <w:gridCol w:w="567"/>
        <w:gridCol w:w="567"/>
      </w:tblGrid>
      <w:tr w:rsidR="0097286A" w:rsidRPr="00EB6498" w14:paraId="5DFD34B4" w14:textId="77777777" w:rsidTr="00EF6536">
        <w:trPr>
          <w:trHeight w:val="281"/>
        </w:trPr>
        <w:tc>
          <w:tcPr>
            <w:tcW w:w="10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77F06FC8" w14:textId="77777777" w:rsidR="0097286A" w:rsidRPr="00E80B43" w:rsidRDefault="0097286A" w:rsidP="00EF6536">
            <w:pPr>
              <w:jc w:val="center"/>
              <w:rPr>
                <w:b/>
                <w:sz w:val="28"/>
              </w:rPr>
            </w:pPr>
            <w:r w:rsidRPr="00E80B43">
              <w:rPr>
                <w:b/>
                <w:sz w:val="28"/>
              </w:rPr>
              <w:t>Objectifs d'apprentissage</w:t>
            </w:r>
          </w:p>
        </w:tc>
      </w:tr>
      <w:tr w:rsidR="0097286A" w:rsidRPr="005B2819" w14:paraId="4F00CC5D" w14:textId="77777777" w:rsidTr="00EF6536">
        <w:trPr>
          <w:trHeight w:val="161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55DBD08E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CDCB864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1"/>
              </w:rPr>
            </w:pPr>
            <w:r w:rsidRPr="005B2819">
              <w:rPr>
                <w:rFonts w:ascii="Calibri" w:hAnsi="Calibri" w:cs="Calibri"/>
                <w:sz w:val="20"/>
                <w:szCs w:val="21"/>
              </w:rPr>
              <w:t>Oui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A9AC83D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1"/>
              </w:rPr>
            </w:pPr>
            <w:r w:rsidRPr="005B2819">
              <w:rPr>
                <w:rFonts w:ascii="Calibri" w:hAnsi="Calibri" w:cs="Calibri"/>
                <w:sz w:val="20"/>
                <w:szCs w:val="21"/>
              </w:rPr>
              <w:t>Non</w:t>
            </w:r>
          </w:p>
        </w:tc>
      </w:tr>
      <w:tr w:rsidR="0097286A" w:rsidRPr="005B2819" w14:paraId="6457717E" w14:textId="77777777" w:rsidTr="00EF6536">
        <w:trPr>
          <w:trHeight w:val="1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CACDD74" w14:textId="77777777" w:rsidR="0097286A" w:rsidRPr="008B1575" w:rsidRDefault="0097286A" w:rsidP="00EF65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B1575">
              <w:rPr>
                <w:rFonts w:ascii="Calibri" w:hAnsi="Calibri" w:cs="Calibri"/>
                <w:b/>
                <w:bCs/>
                <w:sz w:val="24"/>
                <w:szCs w:val="21"/>
              </w:rPr>
              <w:t>Je sais définir</w:t>
            </w:r>
            <w:r w:rsidRPr="008B1575">
              <w:rPr>
                <w:rFonts w:ascii="Calibri" w:hAnsi="Calibri" w:cs="Calibri"/>
                <w:sz w:val="24"/>
                <w:szCs w:val="21"/>
              </w:rPr>
              <w:t> </w:t>
            </w:r>
            <w:r w:rsidRPr="005B2819">
              <w:rPr>
                <w:rFonts w:ascii="Calibri" w:hAnsi="Calibri" w:cs="Calibri"/>
                <w:sz w:val="20"/>
                <w:szCs w:val="21"/>
              </w:rPr>
              <w:t xml:space="preserve">: </w:t>
            </w:r>
            <w:r>
              <w:rPr>
                <w:rFonts w:ascii="Calibri" w:hAnsi="Calibri" w:cs="Calibri"/>
                <w:sz w:val="20"/>
                <w:szCs w:val="20"/>
              </w:rPr>
              <w:t>Action publique, agenda politique, biens communs, conflit, construction d’un problème public, coopération, externalité négative, externalité positive, marché des quotas d’émission, mise à l’agenda politique, ONG, passager clandestin, pouvoirs publics, problèmes publics, réglementation environnementale, subvention environnementale, taxation environnementale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3EB8AAE5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4D80E17E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</w:p>
        </w:tc>
      </w:tr>
      <w:tr w:rsidR="0097286A" w:rsidRPr="001B0855" w14:paraId="582AC2A5" w14:textId="77777777" w:rsidTr="00EF6536">
        <w:trPr>
          <w:trHeight w:val="1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09A9DCFF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  <w:r w:rsidRPr="008B1575">
              <w:rPr>
                <w:rFonts w:ascii="Calibri" w:hAnsi="Calibri" w:cs="Calibri"/>
                <w:b/>
                <w:bCs/>
                <w:sz w:val="24"/>
                <w:szCs w:val="21"/>
              </w:rPr>
              <w:t>Je sais distinguer</w:t>
            </w:r>
            <w:r w:rsidRPr="008B1575">
              <w:rPr>
                <w:rFonts w:ascii="Calibri" w:hAnsi="Calibri" w:cs="Calibri"/>
                <w:sz w:val="24"/>
                <w:szCs w:val="21"/>
              </w:rPr>
              <w:t> </w:t>
            </w:r>
            <w:r w:rsidRPr="005B2819">
              <w:rPr>
                <w:rFonts w:ascii="Calibri" w:hAnsi="Calibri" w:cs="Calibri"/>
                <w:sz w:val="20"/>
                <w:szCs w:val="21"/>
              </w:rPr>
              <w:t xml:space="preserve">: </w:t>
            </w:r>
          </w:p>
          <w:p w14:paraId="548FDD88" w14:textId="77777777" w:rsidR="0097286A" w:rsidRDefault="0097286A" w:rsidP="0097286A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Les différents acteurs de la construction d’un problème public.</w:t>
            </w:r>
          </w:p>
          <w:p w14:paraId="2E327B68" w14:textId="77777777" w:rsidR="0097286A" w:rsidRDefault="0097286A" w:rsidP="0097286A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Les différentes échelles de l’action publique environnementale.</w:t>
            </w:r>
          </w:p>
          <w:p w14:paraId="61B505D1" w14:textId="77777777" w:rsidR="0097286A" w:rsidRDefault="0097286A" w:rsidP="0097286A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A84E5D">
              <w:rPr>
                <w:rFonts w:ascii="Calibri" w:hAnsi="Calibri" w:cs="Calibri"/>
                <w:sz w:val="20"/>
                <w:szCs w:val="20"/>
                <w:lang w:val="en-US"/>
              </w:rPr>
              <w:t>L’approche</w:t>
            </w:r>
            <w:proofErr w:type="spellEnd"/>
            <w:r w:rsidRPr="00A84E5D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« top down » de </w:t>
            </w:r>
            <w:proofErr w:type="spellStart"/>
            <w:r w:rsidRPr="00A84E5D">
              <w:rPr>
                <w:rFonts w:ascii="Calibri" w:hAnsi="Calibri" w:cs="Calibri"/>
                <w:sz w:val="20"/>
                <w:szCs w:val="20"/>
                <w:lang w:val="en-US"/>
              </w:rPr>
              <w:t>l’approche</w:t>
            </w:r>
            <w:proofErr w:type="spellEnd"/>
            <w:r w:rsidRPr="00A84E5D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« bottom up »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</w:p>
          <w:p w14:paraId="78AD163D" w14:textId="77777777" w:rsidR="0097286A" w:rsidRDefault="0097286A" w:rsidP="0097286A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1B0855">
              <w:rPr>
                <w:rFonts w:ascii="Calibri" w:hAnsi="Calibri" w:cs="Calibri"/>
                <w:sz w:val="20"/>
                <w:szCs w:val="20"/>
              </w:rPr>
              <w:t xml:space="preserve">Le positionnement des pays selon </w:t>
            </w:r>
            <w:r>
              <w:rPr>
                <w:rFonts w:ascii="Calibri" w:hAnsi="Calibri" w:cs="Calibri"/>
                <w:sz w:val="20"/>
                <w:szCs w:val="20"/>
              </w:rPr>
              <w:t>leurs</w:t>
            </w:r>
            <w:r w:rsidRPr="001B0855">
              <w:rPr>
                <w:rFonts w:ascii="Calibri" w:hAnsi="Calibri" w:cs="Calibri"/>
                <w:sz w:val="20"/>
                <w:szCs w:val="20"/>
              </w:rPr>
              <w:t xml:space="preserve"> émissions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totales </w:t>
            </w:r>
            <w:r w:rsidRPr="001B0855">
              <w:rPr>
                <w:rFonts w:ascii="Calibri" w:hAnsi="Calibri" w:cs="Calibri"/>
                <w:sz w:val="20"/>
                <w:szCs w:val="20"/>
              </w:rPr>
              <w:t>de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GES et leur positionnement selon leurs émissions de GES / habitant.</w:t>
            </w:r>
          </w:p>
          <w:p w14:paraId="233B10E8" w14:textId="77777777" w:rsidR="0097286A" w:rsidRDefault="0097286A" w:rsidP="0097286A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Externalité positive et négative.</w:t>
            </w:r>
          </w:p>
          <w:p w14:paraId="2C045997" w14:textId="77777777" w:rsidR="0097286A" w:rsidRPr="001B0855" w:rsidRDefault="0097286A" w:rsidP="0097286A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Réglementation ou norme environnementale, taxation, subvention, marché des quotas d’émission.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3DEDD05F" w14:textId="77777777" w:rsidR="0097286A" w:rsidRPr="001B0855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75F902B" w14:textId="77777777" w:rsidR="0097286A" w:rsidRPr="001B0855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</w:p>
        </w:tc>
      </w:tr>
      <w:tr w:rsidR="0097286A" w:rsidRPr="005B2819" w14:paraId="430FDB2D" w14:textId="77777777" w:rsidTr="00EF6536">
        <w:trPr>
          <w:trHeight w:val="3692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7B7A2BE6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  <w:r w:rsidRPr="008B1575">
              <w:rPr>
                <w:rFonts w:ascii="Calibri" w:hAnsi="Calibri" w:cs="Calibri"/>
                <w:b/>
                <w:bCs/>
                <w:sz w:val="24"/>
                <w:szCs w:val="21"/>
              </w:rPr>
              <w:t>Je sais expliquer</w:t>
            </w:r>
            <w:r w:rsidRPr="008B1575">
              <w:rPr>
                <w:rFonts w:ascii="Calibri" w:hAnsi="Calibri" w:cs="Calibri"/>
                <w:sz w:val="24"/>
                <w:szCs w:val="21"/>
              </w:rPr>
              <w:t> </w:t>
            </w:r>
            <w:r w:rsidRPr="005B2819">
              <w:rPr>
                <w:rFonts w:ascii="Calibri" w:hAnsi="Calibri" w:cs="Calibri"/>
                <w:sz w:val="20"/>
                <w:szCs w:val="21"/>
              </w:rPr>
              <w:t xml:space="preserve">: </w:t>
            </w:r>
          </w:p>
          <w:p w14:paraId="18F30F58" w14:textId="77777777" w:rsidR="0097286A" w:rsidRPr="00967538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Et identifier les différents acteurs qui participent à la construction des questions environnementales</w:t>
            </w:r>
          </w:p>
          <w:p w14:paraId="3FA04EF4" w14:textId="77777777" w:rsidR="0097286A" w:rsidRPr="00967538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Quelles sont les différentes étapes par lesquelles les acteurs parviennent à la mise à l’agenda politique d’une question environnementale</w:t>
            </w:r>
          </w:p>
          <w:p w14:paraId="0401B206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Comment les relations entre acteurs reposent à la fois sur la coopération et le conflit</w:t>
            </w:r>
          </w:p>
          <w:p w14:paraId="50173951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Que la construction d’un problème public est un processus </w:t>
            </w:r>
          </w:p>
          <w:p w14:paraId="25FEA78D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Comment les différents acteurs participent à la construction</w:t>
            </w:r>
          </w:p>
          <w:p w14:paraId="356E9EDF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Que les experts scientifiques alertent les différents décideurs par des résultats scientifiques </w:t>
            </w:r>
          </w:p>
          <w:p w14:paraId="6FD191E6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Que les associations, partis, mouvement de citoyens mobilisent l’opinion publique par des actions et des propositions</w:t>
            </w:r>
          </w:p>
          <w:p w14:paraId="55D709EF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Que les citoyens se mobilisent pour l’environnement soit pacifiquement soit radicalement</w:t>
            </w:r>
          </w:p>
          <w:p w14:paraId="35A4E686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Que les mouvements écologistes s’efforcent de construire un débouché politique aux mobilisations</w:t>
            </w:r>
          </w:p>
          <w:p w14:paraId="122C6E36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Que les entreprises adaptent leur stratégie en prenant compte de l’environnement </w:t>
            </w:r>
          </w:p>
          <w:p w14:paraId="4D8CC4B0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Que les pouvoirs publics ont la responsabilité de la mise en œuvre effective des politiques publiques </w:t>
            </w:r>
          </w:p>
          <w:p w14:paraId="2C62812F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Que l’action publique pour l’environnement articule différentes échelles</w:t>
            </w:r>
          </w:p>
          <w:p w14:paraId="5A02BB78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Que les pouvoirs publics ont différents instruments pour faire face aux externalités</w:t>
            </w:r>
          </w:p>
          <w:p w14:paraId="35DECACD" w14:textId="77777777" w:rsidR="0097286A" w:rsidRPr="00C604C0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Les différents instruments </w:t>
            </w:r>
          </w:p>
          <w:p w14:paraId="3F16FD01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Pourquoi en présence de biens communs environnementaux, les pays ont tendance à se comporter en passagers clandestins</w:t>
            </w:r>
          </w:p>
          <w:p w14:paraId="6FF4E3BB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En quoi cette stratégie de passagers clandestins met en péril l’efficacité de la lutte contre le réchauffement climatique </w:t>
            </w:r>
          </w:p>
          <w:p w14:paraId="20D16B01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Pourquoi les inégalités de développement constituent un obstacle pour la lutte contre le réchauffement climatique</w:t>
            </w:r>
          </w:p>
          <w:p w14:paraId="1D02D8C3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Comment en présence d’externalités, le marché est défaillant</w:t>
            </w:r>
          </w:p>
          <w:p w14:paraId="11426AB0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Le fonctionnement, les avantages et les limites de la règlementation </w:t>
            </w:r>
          </w:p>
          <w:p w14:paraId="3C039E1B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 fonctionnement, les avantages et les limites de la taxation et des subventions</w:t>
            </w:r>
          </w:p>
          <w:p w14:paraId="71D5462D" w14:textId="77777777" w:rsidR="0097286A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 fonctionnement, les avantages et les limites du marché des quotas d’émission</w:t>
            </w:r>
          </w:p>
          <w:p w14:paraId="1DF21A6B" w14:textId="77777777" w:rsidR="0097286A" w:rsidRPr="00E120B5" w:rsidRDefault="0097286A" w:rsidP="0097286A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Les dysfonctionnements de l’action publique environnementale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BEC4E44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38366E9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</w:p>
        </w:tc>
      </w:tr>
      <w:tr w:rsidR="0097286A" w:rsidRPr="005B2819" w14:paraId="6C3332F2" w14:textId="77777777" w:rsidTr="0097286A">
        <w:trPr>
          <w:trHeight w:val="3425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1A12578E" w14:textId="2E2EFF16" w:rsidR="0097286A" w:rsidRPr="0097286A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  <w:r>
              <w:rPr>
                <w:rFonts w:cstheme="minorHAnsi"/>
                <w:b/>
                <w:bCs/>
                <w:sz w:val="24"/>
                <w:szCs w:val="21"/>
              </w:rPr>
              <w:t>Les parties que je souhaite r</w:t>
            </w:r>
            <w:r>
              <w:rPr>
                <w:rFonts w:cstheme="minorHAnsi"/>
                <w:b/>
                <w:bCs/>
                <w:sz w:val="24"/>
                <w:szCs w:val="21"/>
              </w:rPr>
              <w:t>e</w:t>
            </w:r>
            <w:r>
              <w:rPr>
                <w:rFonts w:cstheme="minorHAnsi"/>
                <w:b/>
                <w:bCs/>
                <w:sz w:val="24"/>
                <w:szCs w:val="21"/>
              </w:rPr>
              <w:t xml:space="preserve">voir :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4CB58F8B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C50A0BC" w14:textId="77777777" w:rsidR="0097286A" w:rsidRPr="005B2819" w:rsidRDefault="0097286A" w:rsidP="00EF65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</w:p>
        </w:tc>
      </w:tr>
    </w:tbl>
    <w:p w14:paraId="149A5409" w14:textId="252E2FE7" w:rsidR="00CF0057" w:rsidRPr="0097286A" w:rsidRDefault="00CF0057" w:rsidP="0097286A"/>
    <w:sectPr w:rsidR="00CF0057" w:rsidRPr="0097286A" w:rsidSect="000B2FAD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C95E4" w14:textId="77777777" w:rsidR="00F001A8" w:rsidRDefault="00F001A8" w:rsidP="00C00AB3">
      <w:r>
        <w:separator/>
      </w:r>
    </w:p>
  </w:endnote>
  <w:endnote w:type="continuationSeparator" w:id="0">
    <w:p w14:paraId="39C470D1" w14:textId="77777777" w:rsidR="00F001A8" w:rsidRDefault="00F001A8" w:rsidP="00C00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989A1" w14:textId="62EF318A" w:rsidR="00DA64C2" w:rsidRDefault="00DA64C2">
    <w:pPr>
      <w:pStyle w:val="Pieddepage"/>
    </w:pPr>
    <w:r>
      <w:rPr>
        <w:b/>
        <w:bCs/>
        <w:noProof/>
        <w:color w:val="C00000"/>
        <w:sz w:val="28"/>
        <w:szCs w:val="36"/>
        <w14:ligatures w14:val="standardContextual"/>
      </w:rPr>
      <w:drawing>
        <wp:anchor distT="0" distB="0" distL="114300" distR="114300" simplePos="0" relativeHeight="251660288" behindDoc="0" locked="0" layoutInCell="1" allowOverlap="1" wp14:anchorId="0D4C5C9E" wp14:editId="3783B898">
          <wp:simplePos x="0" y="0"/>
          <wp:positionH relativeFrom="column">
            <wp:posOffset>6092190</wp:posOffset>
          </wp:positionH>
          <wp:positionV relativeFrom="paragraph">
            <wp:posOffset>-114935</wp:posOffset>
          </wp:positionV>
          <wp:extent cx="858520" cy="858520"/>
          <wp:effectExtent l="0" t="0" r="0" b="0"/>
          <wp:wrapNone/>
          <wp:docPr id="816778163" name="Image 2" descr="Une image contenant Graphique, Police, capture d’écran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79525" name="Image 2" descr="Une image contenant Graphique, Police, capture d’écran, conception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23BEE" w14:textId="77777777" w:rsidR="00F001A8" w:rsidRDefault="00F001A8" w:rsidP="00C00AB3">
      <w:r>
        <w:separator/>
      </w:r>
    </w:p>
  </w:footnote>
  <w:footnote w:type="continuationSeparator" w:id="0">
    <w:p w14:paraId="110868AE" w14:textId="77777777" w:rsidR="00F001A8" w:rsidRDefault="00F001A8" w:rsidP="00C00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D19E2" w14:textId="53422B51" w:rsidR="00DA7321" w:rsidRDefault="00DA7321" w:rsidP="001869BE">
    <w:pPr>
      <w:pStyle w:val="En-tte"/>
      <w:rPr>
        <w:b/>
        <w:bCs/>
        <w:color w:val="C00000"/>
        <w:sz w:val="28"/>
        <w:szCs w:val="36"/>
      </w:rPr>
    </w:pPr>
    <w:r>
      <w:rPr>
        <w:b/>
        <w:bCs/>
        <w:noProof/>
        <w:color w:val="C00000"/>
        <w:sz w:val="28"/>
        <w:szCs w:val="36"/>
        <w14:ligatures w14:val="standardContextual"/>
      </w:rPr>
      <w:drawing>
        <wp:anchor distT="0" distB="0" distL="114300" distR="114300" simplePos="0" relativeHeight="251658240" behindDoc="0" locked="0" layoutInCell="1" allowOverlap="1" wp14:anchorId="2F43BA0C" wp14:editId="0603DDF0">
          <wp:simplePos x="0" y="0"/>
          <wp:positionH relativeFrom="column">
            <wp:posOffset>-299085</wp:posOffset>
          </wp:positionH>
          <wp:positionV relativeFrom="paragraph">
            <wp:posOffset>-554476</wp:posOffset>
          </wp:positionV>
          <wp:extent cx="858520" cy="858520"/>
          <wp:effectExtent l="0" t="0" r="0" b="0"/>
          <wp:wrapNone/>
          <wp:docPr id="592379525" name="Image 2" descr="Une image contenant Graphique, Police, capture d’écran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79525" name="Image 2" descr="Une image contenant Graphique, Police, capture d’écran, conception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CA4E07" w14:textId="10AB9052" w:rsidR="001869BE" w:rsidRDefault="00C00AB3" w:rsidP="005F4954">
    <w:pPr>
      <w:pStyle w:val="En-tte"/>
      <w:jc w:val="center"/>
      <w:rPr>
        <w:b/>
        <w:bCs/>
        <w:color w:val="C00000"/>
        <w:sz w:val="28"/>
        <w:szCs w:val="36"/>
      </w:rPr>
    </w:pPr>
    <w:r w:rsidRPr="00C00AB3">
      <w:rPr>
        <w:b/>
        <w:bCs/>
        <w:color w:val="C00000"/>
        <w:sz w:val="28"/>
        <w:szCs w:val="36"/>
      </w:rPr>
      <w:t xml:space="preserve">Chapitre </w:t>
    </w:r>
    <w:r w:rsidR="0097286A">
      <w:rPr>
        <w:b/>
        <w:bCs/>
        <w:color w:val="C00000"/>
        <w:sz w:val="28"/>
        <w:szCs w:val="36"/>
      </w:rPr>
      <w:t>RC2 : Quelle action publique pour l’environnement ?</w:t>
    </w:r>
    <w:r w:rsidR="00470ABF">
      <w:rPr>
        <w:b/>
        <w:bCs/>
        <w:color w:val="C00000"/>
        <w:sz w:val="28"/>
        <w:szCs w:val="36"/>
      </w:rPr>
      <w:t xml:space="preserve"> </w:t>
    </w:r>
  </w:p>
  <w:p w14:paraId="2A5580D8" w14:textId="77777777" w:rsidR="00470ABF" w:rsidRDefault="00470ABF" w:rsidP="005F495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02539"/>
    <w:multiLevelType w:val="hybridMultilevel"/>
    <w:tmpl w:val="2040A238"/>
    <w:lvl w:ilvl="0" w:tplc="DE76F7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52954"/>
    <w:multiLevelType w:val="hybridMultilevel"/>
    <w:tmpl w:val="7978633A"/>
    <w:lvl w:ilvl="0" w:tplc="443AC6BA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17126A"/>
    <w:multiLevelType w:val="hybridMultilevel"/>
    <w:tmpl w:val="54BAB5B0"/>
    <w:lvl w:ilvl="0" w:tplc="C4C8D6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018DC"/>
    <w:multiLevelType w:val="hybridMultilevel"/>
    <w:tmpl w:val="B32A0168"/>
    <w:lvl w:ilvl="0" w:tplc="6840D0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8705C"/>
    <w:multiLevelType w:val="hybridMultilevel"/>
    <w:tmpl w:val="A6E8C65C"/>
    <w:lvl w:ilvl="0" w:tplc="6840D0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645EE"/>
    <w:multiLevelType w:val="hybridMultilevel"/>
    <w:tmpl w:val="88CC7A7A"/>
    <w:lvl w:ilvl="0" w:tplc="75BC19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775374">
    <w:abstractNumId w:val="3"/>
  </w:num>
  <w:num w:numId="2" w16cid:durableId="142743538">
    <w:abstractNumId w:val="4"/>
  </w:num>
  <w:num w:numId="3" w16cid:durableId="1322077099">
    <w:abstractNumId w:val="2"/>
  </w:num>
  <w:num w:numId="4" w16cid:durableId="861670494">
    <w:abstractNumId w:val="5"/>
  </w:num>
  <w:num w:numId="5" w16cid:durableId="1660382957">
    <w:abstractNumId w:val="0"/>
  </w:num>
  <w:num w:numId="6" w16cid:durableId="749886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AD"/>
    <w:rsid w:val="00023595"/>
    <w:rsid w:val="00034314"/>
    <w:rsid w:val="00061077"/>
    <w:rsid w:val="000674CE"/>
    <w:rsid w:val="000B2FAD"/>
    <w:rsid w:val="000C6E2E"/>
    <w:rsid w:val="000E4EE3"/>
    <w:rsid w:val="0015344B"/>
    <w:rsid w:val="00185ADD"/>
    <w:rsid w:val="001869BE"/>
    <w:rsid w:val="00196D0D"/>
    <w:rsid w:val="001B3DC1"/>
    <w:rsid w:val="001C4860"/>
    <w:rsid w:val="0022443A"/>
    <w:rsid w:val="00231659"/>
    <w:rsid w:val="00282CB2"/>
    <w:rsid w:val="002D2C17"/>
    <w:rsid w:val="002D408D"/>
    <w:rsid w:val="00313D84"/>
    <w:rsid w:val="00325603"/>
    <w:rsid w:val="003321B7"/>
    <w:rsid w:val="0033772D"/>
    <w:rsid w:val="00345B93"/>
    <w:rsid w:val="00350DA4"/>
    <w:rsid w:val="00365D2B"/>
    <w:rsid w:val="00385B16"/>
    <w:rsid w:val="003B146C"/>
    <w:rsid w:val="004168A4"/>
    <w:rsid w:val="004671D6"/>
    <w:rsid w:val="00470ABF"/>
    <w:rsid w:val="00480478"/>
    <w:rsid w:val="00490BC9"/>
    <w:rsid w:val="00495FE3"/>
    <w:rsid w:val="004E00F4"/>
    <w:rsid w:val="005040E0"/>
    <w:rsid w:val="005544DE"/>
    <w:rsid w:val="00554927"/>
    <w:rsid w:val="005B5CF7"/>
    <w:rsid w:val="005D100D"/>
    <w:rsid w:val="005D73AF"/>
    <w:rsid w:val="005E562D"/>
    <w:rsid w:val="005F13A4"/>
    <w:rsid w:val="005F4954"/>
    <w:rsid w:val="006269E4"/>
    <w:rsid w:val="00662C41"/>
    <w:rsid w:val="00665853"/>
    <w:rsid w:val="006B6B2D"/>
    <w:rsid w:val="007370F8"/>
    <w:rsid w:val="007A6F7E"/>
    <w:rsid w:val="007A775F"/>
    <w:rsid w:val="007B4749"/>
    <w:rsid w:val="007E4DC0"/>
    <w:rsid w:val="007E7261"/>
    <w:rsid w:val="00837BC5"/>
    <w:rsid w:val="00851097"/>
    <w:rsid w:val="00852F0F"/>
    <w:rsid w:val="00881C2F"/>
    <w:rsid w:val="008B74BC"/>
    <w:rsid w:val="008D22C3"/>
    <w:rsid w:val="00943060"/>
    <w:rsid w:val="0097286A"/>
    <w:rsid w:val="009E6841"/>
    <w:rsid w:val="00A350A3"/>
    <w:rsid w:val="00A60181"/>
    <w:rsid w:val="00A81DD9"/>
    <w:rsid w:val="00A87762"/>
    <w:rsid w:val="00A94257"/>
    <w:rsid w:val="00BD520C"/>
    <w:rsid w:val="00C00AB3"/>
    <w:rsid w:val="00C35EF8"/>
    <w:rsid w:val="00C5782A"/>
    <w:rsid w:val="00C672BF"/>
    <w:rsid w:val="00C8079C"/>
    <w:rsid w:val="00C9108F"/>
    <w:rsid w:val="00CC1037"/>
    <w:rsid w:val="00CD1DB7"/>
    <w:rsid w:val="00CE2FE7"/>
    <w:rsid w:val="00CE3F1A"/>
    <w:rsid w:val="00CF0057"/>
    <w:rsid w:val="00D0763E"/>
    <w:rsid w:val="00D46CCD"/>
    <w:rsid w:val="00D71F56"/>
    <w:rsid w:val="00DA64C2"/>
    <w:rsid w:val="00DA7321"/>
    <w:rsid w:val="00DC26C1"/>
    <w:rsid w:val="00E15D0E"/>
    <w:rsid w:val="00E30432"/>
    <w:rsid w:val="00E65873"/>
    <w:rsid w:val="00E6692B"/>
    <w:rsid w:val="00F001A8"/>
    <w:rsid w:val="00F449BE"/>
    <w:rsid w:val="00FC0F75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E5BE5"/>
  <w15:chartTrackingRefBased/>
  <w15:docId w15:val="{00E796F7-0F11-0D41-934D-C1E65C374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FAD"/>
    <w:pPr>
      <w:jc w:val="both"/>
    </w:pPr>
    <w:rPr>
      <w:kern w:val="0"/>
      <w:sz w:val="21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C48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030A0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48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8AD8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B2F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B2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B2F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B2F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B2F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B2F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B2F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4860"/>
    <w:rPr>
      <w:rFonts w:asciiTheme="majorHAnsi" w:eastAsiaTheme="majorEastAsia" w:hAnsiTheme="majorHAnsi" w:cstheme="majorBidi"/>
      <w:color w:val="7030A0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C4860"/>
    <w:rPr>
      <w:rFonts w:asciiTheme="majorHAnsi" w:eastAsiaTheme="majorEastAsia" w:hAnsiTheme="majorHAnsi" w:cstheme="majorBidi"/>
      <w:color w:val="FF8AD8"/>
      <w:sz w:val="2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0B2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B2FAD"/>
    <w:rPr>
      <w:rFonts w:eastAsiaTheme="majorEastAsia" w:cstheme="majorBidi"/>
      <w:i/>
      <w:iCs/>
      <w:color w:val="0F4761" w:themeColor="accent1" w:themeShade="BF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sid w:val="000B2FAD"/>
    <w:rPr>
      <w:rFonts w:eastAsiaTheme="majorEastAsia" w:cstheme="majorBidi"/>
      <w:color w:val="0F4761" w:themeColor="accent1" w:themeShade="BF"/>
      <w:sz w:val="21"/>
    </w:rPr>
  </w:style>
  <w:style w:type="character" w:customStyle="1" w:styleId="Titre6Car">
    <w:name w:val="Titre 6 Car"/>
    <w:basedOn w:val="Policepardfaut"/>
    <w:link w:val="Titre6"/>
    <w:uiPriority w:val="9"/>
    <w:semiHidden/>
    <w:rsid w:val="000B2FAD"/>
    <w:rPr>
      <w:rFonts w:eastAsiaTheme="majorEastAsia" w:cstheme="majorBidi"/>
      <w:i/>
      <w:iCs/>
      <w:color w:val="595959" w:themeColor="text1" w:themeTint="A6"/>
      <w:sz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0B2FAD"/>
    <w:rPr>
      <w:rFonts w:eastAsiaTheme="majorEastAsia" w:cstheme="majorBidi"/>
      <w:color w:val="595959" w:themeColor="text1" w:themeTint="A6"/>
      <w:sz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0B2FAD"/>
    <w:rPr>
      <w:rFonts w:eastAsiaTheme="majorEastAsia" w:cstheme="majorBidi"/>
      <w:i/>
      <w:iCs/>
      <w:color w:val="272727" w:themeColor="text1" w:themeTint="D8"/>
      <w:sz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0B2FAD"/>
    <w:rPr>
      <w:rFonts w:eastAsiaTheme="majorEastAsia" w:cstheme="majorBidi"/>
      <w:color w:val="272727" w:themeColor="text1" w:themeTint="D8"/>
      <w:sz w:val="21"/>
    </w:rPr>
  </w:style>
  <w:style w:type="paragraph" w:styleId="Titre">
    <w:name w:val="Title"/>
    <w:basedOn w:val="Normal"/>
    <w:next w:val="Normal"/>
    <w:link w:val="TitreCar"/>
    <w:uiPriority w:val="10"/>
    <w:qFormat/>
    <w:rsid w:val="000B2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B2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B2F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B2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B2F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B2FAD"/>
    <w:rPr>
      <w:i/>
      <w:iCs/>
      <w:color w:val="404040" w:themeColor="text1" w:themeTint="BF"/>
      <w:sz w:val="21"/>
    </w:rPr>
  </w:style>
  <w:style w:type="paragraph" w:styleId="Paragraphedeliste">
    <w:name w:val="List Paragraph"/>
    <w:basedOn w:val="Normal"/>
    <w:uiPriority w:val="34"/>
    <w:qFormat/>
    <w:rsid w:val="000B2FA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B2FA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B2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B2FAD"/>
    <w:rPr>
      <w:i/>
      <w:iCs/>
      <w:color w:val="0F4761" w:themeColor="accent1" w:themeShade="BF"/>
      <w:sz w:val="21"/>
    </w:rPr>
  </w:style>
  <w:style w:type="character" w:styleId="Rfrenceintense">
    <w:name w:val="Intense Reference"/>
    <w:basedOn w:val="Policepardfaut"/>
    <w:uiPriority w:val="32"/>
    <w:qFormat/>
    <w:rsid w:val="000B2FA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00A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0AB3"/>
    <w:rPr>
      <w:kern w:val="0"/>
      <w:sz w:val="21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C00A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0AB3"/>
    <w:rPr>
      <w:kern w:val="0"/>
      <w:sz w:val="21"/>
      <w14:ligatures w14:val="none"/>
    </w:rPr>
  </w:style>
  <w:style w:type="paragraph" w:styleId="Sansinterligne">
    <w:name w:val="No Spacing"/>
    <w:aliases w:val="COURS"/>
    <w:uiPriority w:val="1"/>
    <w:qFormat/>
    <w:rsid w:val="001B3DC1"/>
    <w:pPr>
      <w:jc w:val="both"/>
    </w:pPr>
    <w:rPr>
      <w:rFonts w:ascii="Garamond" w:hAnsi="Garamond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440</Words>
  <Characters>2435</Characters>
  <Application>Microsoft Office Word</Application>
  <DocSecurity>0</DocSecurity>
  <Lines>67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PIETRINI</dc:creator>
  <cp:keywords/>
  <dc:description/>
  <cp:lastModifiedBy>ALICE PIETRINI</cp:lastModifiedBy>
  <cp:revision>2</cp:revision>
  <cp:lastPrinted>2026-01-21T20:54:00Z</cp:lastPrinted>
  <dcterms:created xsi:type="dcterms:W3CDTF">2026-01-21T21:04:00Z</dcterms:created>
  <dcterms:modified xsi:type="dcterms:W3CDTF">2026-01-21T21:04:00Z</dcterms:modified>
</cp:coreProperties>
</file>