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07" w:type="dxa"/>
        <w:tblInd w:w="52" w:type="dxa"/>
        <w:tblLayout w:type="fixed"/>
        <w:tblCellMar>
          <w:left w:w="27" w:type="dxa"/>
          <w:right w:w="27" w:type="dxa"/>
        </w:tblCellMar>
        <w:tblLook w:val="0000" w:firstRow="0" w:lastRow="0" w:firstColumn="0" w:lastColumn="0" w:noHBand="0" w:noVBand="0"/>
      </w:tblPr>
      <w:tblGrid>
        <w:gridCol w:w="9473"/>
        <w:gridCol w:w="567"/>
        <w:gridCol w:w="567"/>
      </w:tblGrid>
      <w:tr w:rsidR="00490BC9" w:rsidRPr="00ED446A" w14:paraId="19046934" w14:textId="77777777" w:rsidTr="00EF6536">
        <w:trPr>
          <w:trHeight w:val="281"/>
        </w:trPr>
        <w:tc>
          <w:tcPr>
            <w:tcW w:w="10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8442320" w14:textId="77777777" w:rsidR="00490BC9" w:rsidRPr="00ED446A" w:rsidRDefault="00490BC9" w:rsidP="00EF6536">
            <w:pPr>
              <w:jc w:val="center"/>
              <w:rPr>
                <w:rFonts w:cstheme="minorHAnsi"/>
                <w:b/>
                <w:sz w:val="28"/>
              </w:rPr>
            </w:pPr>
            <w:r w:rsidRPr="00ED446A">
              <w:rPr>
                <w:rFonts w:cstheme="minorHAnsi"/>
                <w:b/>
                <w:sz w:val="28"/>
              </w:rPr>
              <w:t>Objectifs d'apprentissage</w:t>
            </w:r>
          </w:p>
        </w:tc>
      </w:tr>
      <w:tr w:rsidR="00490BC9" w:rsidRPr="00ED446A" w14:paraId="2746B195" w14:textId="77777777" w:rsidTr="00EF6536">
        <w:trPr>
          <w:trHeight w:val="16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5944BCEA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D1052B8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sz w:val="20"/>
                <w:szCs w:val="21"/>
              </w:rPr>
              <w:t>Oui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6424465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sz w:val="20"/>
                <w:szCs w:val="21"/>
              </w:rPr>
              <w:t>Non</w:t>
            </w:r>
          </w:p>
        </w:tc>
      </w:tr>
      <w:tr w:rsidR="00490BC9" w:rsidRPr="00ED446A" w14:paraId="1D78EB9A" w14:textId="77777777" w:rsidTr="00EF6536">
        <w:trPr>
          <w:trHeight w:val="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5E176144" w14:textId="77777777" w:rsidR="00490BC9" w:rsidRDefault="00490BC9" w:rsidP="00EF6536">
            <w:pPr>
              <w:rPr>
                <w:rFonts w:cstheme="minorHAnsi"/>
                <w:b/>
                <w:sz w:val="20"/>
                <w:szCs w:val="20"/>
              </w:rPr>
            </w:pPr>
            <w:r w:rsidRPr="00ED446A">
              <w:rPr>
                <w:rFonts w:cstheme="minorHAnsi"/>
                <w:b/>
                <w:bCs/>
                <w:sz w:val="24"/>
                <w:szCs w:val="21"/>
              </w:rPr>
              <w:t>Je sais définir</w:t>
            </w:r>
            <w:r w:rsidRPr="00ED446A">
              <w:rPr>
                <w:rFonts w:cstheme="minorHAnsi"/>
                <w:sz w:val="24"/>
                <w:szCs w:val="21"/>
              </w:rPr>
              <w:t> </w:t>
            </w:r>
            <w:r w:rsidRPr="00222E3E">
              <w:rPr>
                <w:rFonts w:cstheme="minorHAnsi"/>
                <w:sz w:val="20"/>
                <w:szCs w:val="20"/>
              </w:rPr>
              <w:t>:</w:t>
            </w:r>
            <w:r w:rsidRPr="00222E3E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41FB5A20" w14:textId="77777777" w:rsidR="00490BC9" w:rsidRPr="00765FBC" w:rsidRDefault="00490BC9" w:rsidP="00EF6536">
            <w:r>
              <w:t>Engagement politique ; vote ; consommation engagée ; engagement associatif ; militantisme ; syndicat ; parti politique ; action collective ; incitations sélectives ; rétributions symboliques ; paradoxe de l’action collective ; passager clandestin ; structure des opportunités politiques ; luttes minoritaires ; NMS ; répertoire d’action collective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2BD5118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3DCECE6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  <w:tr w:rsidR="00490BC9" w:rsidRPr="00ED446A" w14:paraId="7282DA7D" w14:textId="77777777" w:rsidTr="00EF6536">
        <w:trPr>
          <w:trHeight w:val="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42F347B0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b/>
                <w:bCs/>
                <w:sz w:val="24"/>
                <w:szCs w:val="21"/>
              </w:rPr>
              <w:t>Je sais distinguer</w:t>
            </w:r>
            <w:r w:rsidRPr="00ED446A">
              <w:rPr>
                <w:rFonts w:cstheme="minorHAnsi"/>
                <w:sz w:val="24"/>
                <w:szCs w:val="21"/>
              </w:rPr>
              <w:t> </w:t>
            </w:r>
            <w:r w:rsidRPr="00ED446A">
              <w:rPr>
                <w:rFonts w:cstheme="minorHAnsi"/>
                <w:sz w:val="20"/>
                <w:szCs w:val="21"/>
              </w:rPr>
              <w:t xml:space="preserve">: </w:t>
            </w:r>
          </w:p>
          <w:p w14:paraId="0A12157D" w14:textId="77777777" w:rsidR="00490BC9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Les différentes formes de l’engagement politique</w:t>
            </w:r>
          </w:p>
          <w:p w14:paraId="72CF1B1F" w14:textId="77777777" w:rsidR="00490BC9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Les formes d’engagement individuelle et collective</w:t>
            </w:r>
          </w:p>
          <w:p w14:paraId="0E5075BE" w14:textId="77777777" w:rsidR="00490BC9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Incitations sélectives et rétributions symboliques</w:t>
            </w:r>
          </w:p>
          <w:p w14:paraId="3FC1A8B4" w14:textId="77777777" w:rsidR="00490BC9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Mouvements sociaux et NMS</w:t>
            </w:r>
          </w:p>
          <w:p w14:paraId="0371E174" w14:textId="77777777" w:rsidR="00490BC9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 xml:space="preserve">Les acteurs de l’action collective </w:t>
            </w:r>
          </w:p>
          <w:p w14:paraId="42E2CD5F" w14:textId="77777777" w:rsidR="00490BC9" w:rsidRPr="005A5126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 xml:space="preserve">Revendications matérialistes et post-matérialistes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1ED9220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20B9C95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  <w:tr w:rsidR="00490BC9" w:rsidRPr="00ED446A" w14:paraId="2C4822E1" w14:textId="77777777" w:rsidTr="00EF6536">
        <w:trPr>
          <w:trHeight w:val="3220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2104EFDD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b/>
                <w:bCs/>
                <w:sz w:val="24"/>
                <w:szCs w:val="21"/>
              </w:rPr>
              <w:t>Je sais expliquer</w:t>
            </w:r>
            <w:r w:rsidRPr="00ED446A">
              <w:rPr>
                <w:rFonts w:cstheme="minorHAnsi"/>
                <w:sz w:val="24"/>
                <w:szCs w:val="21"/>
              </w:rPr>
              <w:t> </w:t>
            </w:r>
            <w:r w:rsidRPr="00ED446A">
              <w:rPr>
                <w:rFonts w:cstheme="minorHAnsi"/>
                <w:sz w:val="20"/>
                <w:szCs w:val="21"/>
              </w:rPr>
              <w:t xml:space="preserve">: </w:t>
            </w:r>
          </w:p>
          <w:p w14:paraId="5572ADE7" w14:textId="77777777" w:rsidR="00490BC9" w:rsidRPr="00765FBC" w:rsidRDefault="00490BC9" w:rsidP="00490BC9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left"/>
              <w:rPr>
                <w:rFonts w:cstheme="minorHAnsi"/>
                <w:sz w:val="20"/>
                <w:szCs w:val="20"/>
              </w:rPr>
            </w:pPr>
            <w:r w:rsidRPr="00765FBC">
              <w:rPr>
                <w:rFonts w:cstheme="minorHAnsi"/>
                <w:sz w:val="20"/>
                <w:szCs w:val="20"/>
              </w:rPr>
              <w:t>Ce que représente chaque forme de l’engagement politique</w:t>
            </w:r>
          </w:p>
          <w:p w14:paraId="2B864EBC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Pourquoi malgré le paradoxe de l’action collective, les individus s’engagent</w:t>
            </w:r>
          </w:p>
          <w:p w14:paraId="5A8757A4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qu’est le paradoxe de l’action collective de Mancur Olson</w:t>
            </w:r>
          </w:p>
          <w:p w14:paraId="153A0426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qu’est une incitation sélective et en quoi ça incite à l’action collective</w:t>
            </w:r>
          </w:p>
          <w:p w14:paraId="6DBDE9E9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qu’est une rétribution symbolique et en quoi ça incite à l’action collective</w:t>
            </w:r>
          </w:p>
          <w:p w14:paraId="29C3941F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qu’est la structure des opportunités politiques</w:t>
            </w:r>
          </w:p>
          <w:p w14:paraId="4F162222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 quoi est composé la structure des opportunités politiques</w:t>
            </w:r>
          </w:p>
          <w:p w14:paraId="1F284706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 quoi la structure des opportunités politiques incite les actions collectives</w:t>
            </w:r>
          </w:p>
          <w:p w14:paraId="67396E65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 l’engagement politique dépend de variables sociodémographiques</w:t>
            </w:r>
          </w:p>
          <w:p w14:paraId="214D01E5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 diversité et les transformations des objets de l’action collective, des acteurs et de leurs répertoires</w:t>
            </w:r>
          </w:p>
          <w:p w14:paraId="224E6292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 jusqu’au XXème siècle, les conflits du travail avaient une importance majoritaire dans l’action collective</w:t>
            </w:r>
          </w:p>
          <w:p w14:paraId="34282D3E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 les mouvements sociaux ont évolué et sont maintenant centrés sur d’autres enjeux</w:t>
            </w:r>
          </w:p>
          <w:p w14:paraId="045C71D4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 les actions collectives mobilisent un répertoire (Charles Tilly)</w:t>
            </w:r>
          </w:p>
          <w:p w14:paraId="69877E5F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que représentent les nouveaux mouvements sociaux</w:t>
            </w:r>
          </w:p>
          <w:p w14:paraId="0E07F0BC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 différence entre les revendications matérialistes et post-matérialistes</w:t>
            </w:r>
          </w:p>
          <w:p w14:paraId="61AB1730" w14:textId="77777777" w:rsidR="00490BC9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Quels sont les acteurs de l’action collective </w:t>
            </w:r>
          </w:p>
          <w:p w14:paraId="7BA583CC" w14:textId="77777777" w:rsidR="00490BC9" w:rsidRPr="00A60181" w:rsidRDefault="00490BC9" w:rsidP="00490B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Que les objets de l’action collective se diversifie accompagné par un élargissement du répertoire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7BE1083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  <w:r>
              <w:rPr>
                <w:rFonts w:cstheme="minorHAnsi"/>
                <w:sz w:val="20"/>
                <w:szCs w:val="21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718C3E8A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  <w:tr w:rsidR="00490BC9" w:rsidRPr="00ED446A" w14:paraId="3BAB4D0E" w14:textId="77777777" w:rsidTr="00EF6536">
        <w:trPr>
          <w:trHeight w:val="728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666ED70C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  <w:r>
              <w:rPr>
                <w:rFonts w:cstheme="minorHAnsi"/>
                <w:b/>
                <w:bCs/>
                <w:sz w:val="24"/>
                <w:szCs w:val="21"/>
              </w:rPr>
              <w:t xml:space="preserve">Les parties que je souhaite revoir : </w:t>
            </w:r>
          </w:p>
          <w:p w14:paraId="453CC1DF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46E67209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11B19DF0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6604AB6B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5C3120A7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63BE9F60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22F5179E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6F4261AD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60AA22DB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7A0812E2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22C95473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09476B18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13E42F65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33FAE798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3B938B02" w14:textId="77777777" w:rsidR="00490BC9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2648AEEF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4D6BCD2E" w14:textId="77777777" w:rsidR="00490BC9" w:rsidRPr="00ED446A" w:rsidRDefault="00490BC9" w:rsidP="00EF653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</w:tbl>
    <w:p w14:paraId="149A5409" w14:textId="74D4BD00" w:rsidR="00CF0057" w:rsidRPr="00490BC9" w:rsidRDefault="00470ABF" w:rsidP="00490BC9">
      <w:pPr>
        <w:rPr>
          <w:bCs/>
          <w:color w:val="000000" w:themeColor="text1"/>
          <w:szCs w:val="21"/>
        </w:rPr>
      </w:pPr>
      <w:r w:rsidRPr="00490BC9">
        <w:rPr>
          <w:bCs/>
          <w:color w:val="000000" w:themeColor="text1"/>
          <w:szCs w:val="21"/>
        </w:rPr>
        <w:t xml:space="preserve"> </w:t>
      </w:r>
    </w:p>
    <w:sectPr w:rsidR="00CF0057" w:rsidRPr="00490BC9" w:rsidSect="000B2FA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81DDE" w14:textId="77777777" w:rsidR="00996DD7" w:rsidRDefault="00996DD7" w:rsidP="00C00AB3">
      <w:r>
        <w:separator/>
      </w:r>
    </w:p>
  </w:endnote>
  <w:endnote w:type="continuationSeparator" w:id="0">
    <w:p w14:paraId="5A4EBADB" w14:textId="77777777" w:rsidR="00996DD7" w:rsidRDefault="00996DD7" w:rsidP="00C0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989A1" w14:textId="62EF318A" w:rsidR="00DA64C2" w:rsidRDefault="00DA64C2">
    <w:pPr>
      <w:pStyle w:val="Pieddepage"/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60288" behindDoc="0" locked="0" layoutInCell="1" allowOverlap="1" wp14:anchorId="0D4C5C9E" wp14:editId="3783B898">
          <wp:simplePos x="0" y="0"/>
          <wp:positionH relativeFrom="column">
            <wp:posOffset>6092190</wp:posOffset>
          </wp:positionH>
          <wp:positionV relativeFrom="paragraph">
            <wp:posOffset>-114935</wp:posOffset>
          </wp:positionV>
          <wp:extent cx="858520" cy="858520"/>
          <wp:effectExtent l="0" t="0" r="0" b="0"/>
          <wp:wrapNone/>
          <wp:docPr id="816778163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6073C" w14:textId="77777777" w:rsidR="00996DD7" w:rsidRDefault="00996DD7" w:rsidP="00C00AB3">
      <w:r>
        <w:separator/>
      </w:r>
    </w:p>
  </w:footnote>
  <w:footnote w:type="continuationSeparator" w:id="0">
    <w:p w14:paraId="59504390" w14:textId="77777777" w:rsidR="00996DD7" w:rsidRDefault="00996DD7" w:rsidP="00C00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19E2" w14:textId="53422B51" w:rsidR="00DA7321" w:rsidRDefault="00DA7321" w:rsidP="001869BE">
    <w:pPr>
      <w:pStyle w:val="En-tte"/>
      <w:rPr>
        <w:b/>
        <w:bCs/>
        <w:color w:val="C00000"/>
        <w:sz w:val="28"/>
        <w:szCs w:val="36"/>
      </w:rPr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58240" behindDoc="0" locked="0" layoutInCell="1" allowOverlap="1" wp14:anchorId="2F43BA0C" wp14:editId="0603DDF0">
          <wp:simplePos x="0" y="0"/>
          <wp:positionH relativeFrom="column">
            <wp:posOffset>-299085</wp:posOffset>
          </wp:positionH>
          <wp:positionV relativeFrom="paragraph">
            <wp:posOffset>-554476</wp:posOffset>
          </wp:positionV>
          <wp:extent cx="858520" cy="858520"/>
          <wp:effectExtent l="0" t="0" r="0" b="0"/>
          <wp:wrapNone/>
          <wp:docPr id="592379525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CA4E07" w14:textId="2B54F7FC" w:rsidR="001869BE" w:rsidRDefault="00C00AB3" w:rsidP="005F4954">
    <w:pPr>
      <w:pStyle w:val="En-tte"/>
      <w:jc w:val="center"/>
      <w:rPr>
        <w:b/>
        <w:bCs/>
        <w:color w:val="C00000"/>
        <w:sz w:val="28"/>
        <w:szCs w:val="36"/>
      </w:rPr>
    </w:pPr>
    <w:r w:rsidRPr="00C00AB3">
      <w:rPr>
        <w:b/>
        <w:bCs/>
        <w:color w:val="C00000"/>
        <w:sz w:val="28"/>
        <w:szCs w:val="36"/>
      </w:rPr>
      <w:t xml:space="preserve">Chapitre </w:t>
    </w:r>
    <w:r w:rsidR="00470ABF">
      <w:rPr>
        <w:b/>
        <w:bCs/>
        <w:color w:val="C00000"/>
        <w:sz w:val="28"/>
        <w:szCs w:val="36"/>
      </w:rPr>
      <w:t>S</w:t>
    </w:r>
    <w:proofErr w:type="gramStart"/>
    <w:r w:rsidR="00767FD4">
      <w:rPr>
        <w:b/>
        <w:bCs/>
        <w:color w:val="C00000"/>
        <w:sz w:val="28"/>
        <w:szCs w:val="36"/>
      </w:rPr>
      <w:t>5</w:t>
    </w:r>
    <w:r w:rsidR="00470ABF">
      <w:rPr>
        <w:b/>
        <w:bCs/>
        <w:color w:val="C00000"/>
        <w:sz w:val="28"/>
        <w:szCs w:val="36"/>
      </w:rPr>
      <w:t>:</w:t>
    </w:r>
    <w:proofErr w:type="gramEnd"/>
    <w:r w:rsidR="00470ABF">
      <w:rPr>
        <w:b/>
        <w:bCs/>
        <w:color w:val="C00000"/>
        <w:sz w:val="28"/>
        <w:szCs w:val="36"/>
      </w:rPr>
      <w:t xml:space="preserve"> Comment </w:t>
    </w:r>
    <w:r w:rsidR="00490BC9">
      <w:rPr>
        <w:b/>
        <w:bCs/>
        <w:color w:val="C00000"/>
        <w:sz w:val="28"/>
        <w:szCs w:val="36"/>
      </w:rPr>
      <w:t>expliquer l’engagement politique dans les sociétés démocratiques ?</w:t>
    </w:r>
    <w:r w:rsidR="00470ABF">
      <w:rPr>
        <w:b/>
        <w:bCs/>
        <w:color w:val="C00000"/>
        <w:sz w:val="28"/>
        <w:szCs w:val="36"/>
      </w:rPr>
      <w:t xml:space="preserve"> </w:t>
    </w:r>
  </w:p>
  <w:p w14:paraId="2A5580D8" w14:textId="77777777" w:rsidR="00470ABF" w:rsidRDefault="00470ABF" w:rsidP="005F495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02539"/>
    <w:multiLevelType w:val="hybridMultilevel"/>
    <w:tmpl w:val="2040A238"/>
    <w:lvl w:ilvl="0" w:tplc="DE76F7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52954"/>
    <w:multiLevelType w:val="hybridMultilevel"/>
    <w:tmpl w:val="7978633A"/>
    <w:lvl w:ilvl="0" w:tplc="443AC6BA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7126A"/>
    <w:multiLevelType w:val="hybridMultilevel"/>
    <w:tmpl w:val="54BAB5B0"/>
    <w:lvl w:ilvl="0" w:tplc="C4C8D6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018DC"/>
    <w:multiLevelType w:val="hybridMultilevel"/>
    <w:tmpl w:val="B32A0168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8705C"/>
    <w:multiLevelType w:val="hybridMultilevel"/>
    <w:tmpl w:val="A6E8C65C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5EE"/>
    <w:multiLevelType w:val="hybridMultilevel"/>
    <w:tmpl w:val="88CC7A7A"/>
    <w:lvl w:ilvl="0" w:tplc="75BC19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775374">
    <w:abstractNumId w:val="3"/>
  </w:num>
  <w:num w:numId="2" w16cid:durableId="142743538">
    <w:abstractNumId w:val="4"/>
  </w:num>
  <w:num w:numId="3" w16cid:durableId="1322077099">
    <w:abstractNumId w:val="2"/>
  </w:num>
  <w:num w:numId="4" w16cid:durableId="861670494">
    <w:abstractNumId w:val="5"/>
  </w:num>
  <w:num w:numId="5" w16cid:durableId="1660382957">
    <w:abstractNumId w:val="0"/>
  </w:num>
  <w:num w:numId="6" w16cid:durableId="749886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AD"/>
    <w:rsid w:val="00023595"/>
    <w:rsid w:val="00034314"/>
    <w:rsid w:val="00061077"/>
    <w:rsid w:val="000674CE"/>
    <w:rsid w:val="000B2FAD"/>
    <w:rsid w:val="000C6E2E"/>
    <w:rsid w:val="000E4EE3"/>
    <w:rsid w:val="0015344B"/>
    <w:rsid w:val="00185ADD"/>
    <w:rsid w:val="001869BE"/>
    <w:rsid w:val="00196D0D"/>
    <w:rsid w:val="001B3DC1"/>
    <w:rsid w:val="001C4860"/>
    <w:rsid w:val="0022443A"/>
    <w:rsid w:val="00231659"/>
    <w:rsid w:val="00282CB2"/>
    <w:rsid w:val="002D2C17"/>
    <w:rsid w:val="002D408D"/>
    <w:rsid w:val="00313D84"/>
    <w:rsid w:val="00325603"/>
    <w:rsid w:val="003321B7"/>
    <w:rsid w:val="0033772D"/>
    <w:rsid w:val="00345B93"/>
    <w:rsid w:val="00350DA4"/>
    <w:rsid w:val="00365D2B"/>
    <w:rsid w:val="00385B16"/>
    <w:rsid w:val="003B146C"/>
    <w:rsid w:val="004168A4"/>
    <w:rsid w:val="004671D6"/>
    <w:rsid w:val="00470ABF"/>
    <w:rsid w:val="00480478"/>
    <w:rsid w:val="00490BC9"/>
    <w:rsid w:val="00495FE3"/>
    <w:rsid w:val="004E4731"/>
    <w:rsid w:val="005040E0"/>
    <w:rsid w:val="005544DE"/>
    <w:rsid w:val="00554927"/>
    <w:rsid w:val="005B5CF7"/>
    <w:rsid w:val="005D100D"/>
    <w:rsid w:val="005D73AF"/>
    <w:rsid w:val="005E562D"/>
    <w:rsid w:val="005F13A4"/>
    <w:rsid w:val="005F4954"/>
    <w:rsid w:val="00662C41"/>
    <w:rsid w:val="00665853"/>
    <w:rsid w:val="006B6B2D"/>
    <w:rsid w:val="007370F8"/>
    <w:rsid w:val="00767FD4"/>
    <w:rsid w:val="007A6F7E"/>
    <w:rsid w:val="007A775F"/>
    <w:rsid w:val="007B4749"/>
    <w:rsid w:val="007E4DC0"/>
    <w:rsid w:val="007E7261"/>
    <w:rsid w:val="00837BC5"/>
    <w:rsid w:val="00851097"/>
    <w:rsid w:val="00852F0F"/>
    <w:rsid w:val="00881C2F"/>
    <w:rsid w:val="008B74BC"/>
    <w:rsid w:val="008D22C3"/>
    <w:rsid w:val="00943060"/>
    <w:rsid w:val="00996DD7"/>
    <w:rsid w:val="009E6841"/>
    <w:rsid w:val="009F0AD0"/>
    <w:rsid w:val="00A350A3"/>
    <w:rsid w:val="00A60181"/>
    <w:rsid w:val="00A81DD9"/>
    <w:rsid w:val="00A87762"/>
    <w:rsid w:val="00A94257"/>
    <w:rsid w:val="00BD520C"/>
    <w:rsid w:val="00C00AB3"/>
    <w:rsid w:val="00C35EF8"/>
    <w:rsid w:val="00C5782A"/>
    <w:rsid w:val="00C672BF"/>
    <w:rsid w:val="00C8079C"/>
    <w:rsid w:val="00C9108F"/>
    <w:rsid w:val="00CC1037"/>
    <w:rsid w:val="00CD1DB7"/>
    <w:rsid w:val="00CE2FE7"/>
    <w:rsid w:val="00CE3F1A"/>
    <w:rsid w:val="00CF0057"/>
    <w:rsid w:val="00D0763E"/>
    <w:rsid w:val="00D46CCD"/>
    <w:rsid w:val="00D71F56"/>
    <w:rsid w:val="00DA64C2"/>
    <w:rsid w:val="00DA7321"/>
    <w:rsid w:val="00DC26C1"/>
    <w:rsid w:val="00E15D0E"/>
    <w:rsid w:val="00E30432"/>
    <w:rsid w:val="00E65873"/>
    <w:rsid w:val="00E6692B"/>
    <w:rsid w:val="00F449BE"/>
    <w:rsid w:val="00FC0F75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5BE5"/>
  <w15:chartTrackingRefBased/>
  <w15:docId w15:val="{00E796F7-0F11-0D41-934D-C1E65C37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FAD"/>
    <w:pPr>
      <w:jc w:val="both"/>
    </w:pPr>
    <w:rPr>
      <w:kern w:val="0"/>
      <w:sz w:val="21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C48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030A0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8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8AD8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B2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B2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B2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B2F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B2F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B2F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B2F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860"/>
    <w:rPr>
      <w:rFonts w:asciiTheme="majorHAnsi" w:eastAsiaTheme="majorEastAsia" w:hAnsiTheme="majorHAnsi" w:cstheme="majorBidi"/>
      <w:color w:val="7030A0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C4860"/>
    <w:rPr>
      <w:rFonts w:asciiTheme="majorHAnsi" w:eastAsiaTheme="majorEastAsia" w:hAnsiTheme="majorHAnsi" w:cstheme="majorBidi"/>
      <w:color w:val="FF8AD8"/>
      <w:sz w:val="2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B2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B2FAD"/>
    <w:rPr>
      <w:rFonts w:eastAsiaTheme="majorEastAsia" w:cstheme="majorBidi"/>
      <w:i/>
      <w:iCs/>
      <w:color w:val="0F4761" w:themeColor="accent1" w:themeShade="BF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0B2FAD"/>
    <w:rPr>
      <w:rFonts w:eastAsiaTheme="majorEastAsia" w:cstheme="majorBidi"/>
      <w:color w:val="0F4761" w:themeColor="accent1" w:themeShade="BF"/>
      <w:sz w:val="21"/>
    </w:rPr>
  </w:style>
  <w:style w:type="character" w:customStyle="1" w:styleId="Titre6Car">
    <w:name w:val="Titre 6 Car"/>
    <w:basedOn w:val="Policepardfaut"/>
    <w:link w:val="Titre6"/>
    <w:uiPriority w:val="9"/>
    <w:semiHidden/>
    <w:rsid w:val="000B2FAD"/>
    <w:rPr>
      <w:rFonts w:eastAsiaTheme="majorEastAsia" w:cstheme="majorBidi"/>
      <w:i/>
      <w:iCs/>
      <w:color w:val="595959" w:themeColor="text1" w:themeTint="A6"/>
      <w:sz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0B2FAD"/>
    <w:rPr>
      <w:rFonts w:eastAsiaTheme="majorEastAsia" w:cstheme="majorBidi"/>
      <w:color w:val="595959" w:themeColor="text1" w:themeTint="A6"/>
      <w:sz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0B2FAD"/>
    <w:rPr>
      <w:rFonts w:eastAsiaTheme="majorEastAsia" w:cstheme="majorBidi"/>
      <w:i/>
      <w:iCs/>
      <w:color w:val="272727" w:themeColor="text1" w:themeTint="D8"/>
      <w:sz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0B2FAD"/>
    <w:rPr>
      <w:rFonts w:eastAsiaTheme="majorEastAsia" w:cstheme="majorBidi"/>
      <w:color w:val="272727" w:themeColor="text1" w:themeTint="D8"/>
      <w:sz w:val="21"/>
    </w:rPr>
  </w:style>
  <w:style w:type="paragraph" w:styleId="Titre">
    <w:name w:val="Title"/>
    <w:basedOn w:val="Normal"/>
    <w:next w:val="Normal"/>
    <w:link w:val="TitreCar"/>
    <w:uiPriority w:val="10"/>
    <w:qFormat/>
    <w:rsid w:val="000B2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B2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B2F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B2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B2F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B2FAD"/>
    <w:rPr>
      <w:i/>
      <w:iCs/>
      <w:color w:val="404040" w:themeColor="text1" w:themeTint="BF"/>
      <w:sz w:val="21"/>
    </w:rPr>
  </w:style>
  <w:style w:type="paragraph" w:styleId="Paragraphedeliste">
    <w:name w:val="List Paragraph"/>
    <w:basedOn w:val="Normal"/>
    <w:uiPriority w:val="1"/>
    <w:qFormat/>
    <w:rsid w:val="000B2FA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B2FA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B2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B2FAD"/>
    <w:rPr>
      <w:i/>
      <w:iCs/>
      <w:color w:val="0F4761" w:themeColor="accent1" w:themeShade="BF"/>
      <w:sz w:val="21"/>
    </w:rPr>
  </w:style>
  <w:style w:type="character" w:styleId="Rfrenceintense">
    <w:name w:val="Intense Reference"/>
    <w:basedOn w:val="Policepardfaut"/>
    <w:uiPriority w:val="32"/>
    <w:qFormat/>
    <w:rsid w:val="000B2FA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AB3"/>
    <w:rPr>
      <w:kern w:val="0"/>
      <w:sz w:val="21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AB3"/>
    <w:rPr>
      <w:kern w:val="0"/>
      <w:sz w:val="21"/>
      <w14:ligatures w14:val="none"/>
    </w:rPr>
  </w:style>
  <w:style w:type="paragraph" w:styleId="Sansinterligne">
    <w:name w:val="No Spacing"/>
    <w:aliases w:val="COURS"/>
    <w:uiPriority w:val="1"/>
    <w:qFormat/>
    <w:rsid w:val="001B3DC1"/>
    <w:pPr>
      <w:jc w:val="both"/>
    </w:pPr>
    <w:rPr>
      <w:rFonts w:ascii="Garamond" w:hAnsi="Garamond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1741</Characters>
  <Application>Microsoft Office Word</Application>
  <DocSecurity>0</DocSecurity>
  <Lines>61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PIETRINI</dc:creator>
  <cp:keywords/>
  <dc:description/>
  <cp:lastModifiedBy>ALICE PIETRINI</cp:lastModifiedBy>
  <cp:revision>3</cp:revision>
  <cp:lastPrinted>2025-05-14T17:56:00Z</cp:lastPrinted>
  <dcterms:created xsi:type="dcterms:W3CDTF">2026-01-21T20:38:00Z</dcterms:created>
  <dcterms:modified xsi:type="dcterms:W3CDTF">2026-01-21T20:55:00Z</dcterms:modified>
</cp:coreProperties>
</file>